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0"/>
        <w:gridCol w:w="349"/>
        <w:gridCol w:w="4699"/>
        <w:tblGridChange w:id="0">
          <w:tblGrid>
            <w:gridCol w:w="4780"/>
            <w:gridCol w:w="349"/>
            <w:gridCol w:w="4699"/>
          </w:tblGrid>
        </w:tblGridChange>
      </w:tblGrid>
      <w:tr>
        <w:trPr>
          <w:cantSplit w:val="0"/>
          <w:trHeight w:val="25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 «ПОГОДЖЕНО»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Виконавчий директор федерації футболу міста Харкова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_________________ О. ТЮРІН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«______» _______________ 2026 р.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 «ЗАТВЕРДЖЕНО»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Заступник начальника Управління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 питань фізичної культури та спорту Харківської міської ради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4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_________________П. ДУМЕНКО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«______» _______________ 2026 р.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2295525</wp:posOffset>
            </wp:positionH>
            <wp:positionV relativeFrom="paragraph">
              <wp:posOffset>0</wp:posOffset>
            </wp:positionV>
            <wp:extent cx="1228725" cy="1228725"/>
            <wp:effectExtent b="0" l="0" r="0" t="0"/>
            <wp:wrapNone/>
            <wp:docPr descr="ОСНОВНОЙ" id="1" name="image1.png"/>
            <a:graphic>
              <a:graphicData uri="http://schemas.openxmlformats.org/drawingml/2006/picture">
                <pic:pic>
                  <pic:nvPicPr>
                    <pic:cNvPr descr="ОСНОВНОЙ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ПОЛОЖЕННЯ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 дитячо-юнацький турнір з футболу серед ДЮСЗ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«ХАРКІВ - МІСТО ГЕРОЙ»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м. Харків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93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МЕТА І ЗАДАЧІ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Змагання /далі турнір/ проводиться з метою популяризації футболу, зміцнення дружби та підвищення рівня майстерності юних футболістів.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61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КЕРІВНИЦТВО ЗМАГАНЬ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2.1. Турнір проводиться Федерацією футболу міста Харкова /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далі ФФМХ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 підтримки Управління з питань фізичної культури та спорту Харківської міської ради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далі Управління/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2.2. Безпосереднє керівництво, організацію та проведення  турніру здійснює комітет з проведення змагань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далі КПЗ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та головна суддівська колегія /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далі ГСК/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2.3. Турнір проводиться у відповідності з принципами «Чесної гри», згідно з календарем, затвердженим ГСК.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Оперативний контроль за організацією та проведенням змагань покладається на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ФФМХ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та головну суддівську колегію.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2.4. Систему, термін та місце проведення турніру визначає ГСК.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0000000000002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 ТЕРМІН ПРОВЕДЕННЯ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3.1. Турнір проводиться у м.Харкові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 07.07 по 11.07 2026 року.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 УЧАСНИКИ ТА УМОВИ ПРОВЕДЕННЯ ТУРНІРУ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4.1. До участі у турнірі запрошуються футбольні команди юнаків дитячо-юнацьких спортивних закладів різних форм власності /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далі ДЮСЗ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/та команд клубів за місцем проживання міста Харкова та Харківської області.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4.2. </w:t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Склад команди: 15 футболістів, представник та тренер команди.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4.3. Команди-учасниці зобов’язані надати до ГСК наступні документи: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Заявковий лист команди у надрукованому вигляді для участі у заході за дозволом лікаря;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Підтвердження про участь команд в турнірі подаються в ГСК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 05.07. 2026 року.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Головний суддя турніру - Глушак Сергій Юрійович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тел.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0953114491;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4.4. Турнір проводиться в два етапи.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4.4.1. П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опередній етап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- команди-учасниці  розподіляються на підгрупи </w:t>
      </w:r>
      <w:r w:rsidDel="00000000" w:rsidR="00000000" w:rsidRPr="00000000">
        <w:rPr>
          <w:sz w:val="26"/>
          <w:szCs w:val="26"/>
          <w:rtl w:val="0"/>
        </w:rPr>
        <w:t xml:space="preserve">згідно жеребкування.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Ігри у підгрупах проводяться за коловою системою в один круг, згідно з затвердженим календарем.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4.4.2.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Фінальний етап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sz w:val="26"/>
          <w:szCs w:val="26"/>
          <w:rtl w:val="0"/>
        </w:rPr>
        <w:t xml:space="preserve">ігри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проводяться за системою «PLAY OFF» /1А-</w:t>
      </w:r>
      <w:r w:rsidDel="00000000" w:rsidR="00000000" w:rsidRPr="00000000">
        <w:rPr>
          <w:sz w:val="26"/>
          <w:szCs w:val="26"/>
          <w:rtl w:val="0"/>
        </w:rPr>
        <w:t xml:space="preserve">1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В, 2А-</w:t>
      </w:r>
      <w:r w:rsidDel="00000000" w:rsidR="00000000" w:rsidRPr="00000000">
        <w:rPr>
          <w:sz w:val="26"/>
          <w:szCs w:val="26"/>
          <w:rtl w:val="0"/>
        </w:rPr>
        <w:t xml:space="preserve">2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В; 3А-3В; 4А-</w:t>
      </w:r>
      <w:r w:rsidDel="00000000" w:rsidR="00000000" w:rsidRPr="00000000">
        <w:rPr>
          <w:sz w:val="26"/>
          <w:szCs w:val="26"/>
          <w:rtl w:val="0"/>
        </w:rPr>
        <w:t xml:space="preserve">4В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/. Переможці виявляються у фінальних матчах турніру.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4.5. Ігри будуть проходити на штучному футбольному полі ст.</w:t>
      </w:r>
      <w:r w:rsidDel="00000000" w:rsidR="00000000" w:rsidRPr="00000000">
        <w:rPr>
          <w:sz w:val="26"/>
          <w:szCs w:val="26"/>
          <w:rtl w:val="0"/>
        </w:rPr>
        <w:t xml:space="preserve">« ВОСТОК»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відповідно до «Правил гри у футбол», а також відповідно до змін і доповнень, прийнятих Міжнародною радою ФІФА.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4.6. Гра складається з 2-х таймів по </w:t>
      </w:r>
      <w:r w:rsidDel="00000000" w:rsidR="00000000" w:rsidRPr="00000000">
        <w:rPr>
          <w:sz w:val="26"/>
          <w:szCs w:val="26"/>
          <w:rtl w:val="0"/>
        </w:rPr>
        <w:t xml:space="preserve">15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хвилин кожний з 5-хвилинною перервою.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4.7. Місця команд у підгрупах визначаються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 найбільшій кількості очок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набраних в усіх зустрічах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За перемогу нараховується 3 очки, нічию – 1 очко, поразка – очки не нараховуються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4.8. При рівності набраних очок перевага віддається команді, що має кращі показники: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особистих зустрічах з конкурентом (конкурентами).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більша кількість набраних очок в зустрічах з конкурентом (конкурентами);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краща різниця забитих і пропущених м’ячів в зустрічах з конкурентом (конкурентами);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більша кількість забитих м’ячів в зустрічах з конкурентом (конкурентами);.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4.9. У випадку рівності показників, вказаних в п.4.8 цієї статті набирають чинності додаткові показники: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5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краща різниця забитих і пропущених м’ячів в усіх зустрічах турніру;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35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більша кількість забитих м’ячів в усіх зустрічах турніру;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52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4.10. У випадку нічийного результату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  <w:rtl w:val="0"/>
        </w:rPr>
        <w:t xml:space="preserve">у фінальній частині турніру,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для виявлення переможця призначається серія післяматчевих 6-метрових ударів, які пробиваються відповідно до вимог Правил гри.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4.11. При абсолютній рівності цих показників місця команд визначає жереб.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 ФІНАНСОВІ ВИТРАТИ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5.1. Витрати в дні проведення турніру - за рахунок: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нагородна атрибутика – кубки, медалі плакетки, заохочувальні призи /скляний приз/, харчування арбітрів та інших учасників турніру – за рахунок Управління;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фінансова підтримка – за рахунок спонсорів турніру та інших джерел, не заборонених законодавством України;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харчування учасників турніру за рахунок відряджаючої організації.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0000000000002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 НАГОРОДЖЕННЯ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bookmarkStart w:colFirst="0" w:colLast="0" w:name="_heading=h.ttl6cqc1yho3" w:id="1"/>
      <w:bookmarkEnd w:id="1"/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6.1. Команди - переможець турніру та призери нагороджуються Кубками та пам'ятними плакетками. Команди учасниці пам'ятними плакетками. Гравці команд переможця ти призерів турніру нагороджуються медалями. Кращі гравці турніру нагороджуються заохочувальними призами /скляний приз/.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</w:tabs>
        <w:spacing w:after="0" w:before="0" w:line="240" w:lineRule="auto"/>
        <w:ind w:left="360" w:right="0" w:firstLine="0"/>
        <w:jc w:val="center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7. ПОРЯДОК ПІДГОТОВКИ СПОРТИВНИХ СПОРУД І ДОТРИМАННЯ БЕЗПЕКИ ПІД ЧАС ПРОВЕДЕННЯ ЗМАГАНЬ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6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Відповідно до Указу Президента України від 24.02.2022 року №64/2022 «Про введення воєнного стану в Україні», наказу Міністерства молоді та спорту України від 22.09.2022 року №3550 «Про внесення змін до наказу Мінмолодьспорту від 28.05.2022 року №1587», постанови Кабінету Міністрів України від 18.12.1998 року №2025 «Про порядок підготовки спортивних споруд та інших спеціально відведених місць для проведення масових спортивних та культурно-видовищних заходів»: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підготовка спортивних споруд покладається на їх власників;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відповідальність за виконанням вимог заходів безпеки під час проведення змагань покладається на головного суддю та тренерів команд;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під час організації та проведення змагань головний суддя забезпечує учасників заходу інформацією про найближче укриття, до якого потрібно слідувати під час повітряної тривоги;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- головному судді та тренерам команд, у разі оголошення в регіоні повітряної тривоги, забезпечити негайне припинення змагань та евакуацію всіх учасників до найближчого завчасно визначеного безпечного місця.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37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зв’язку з діючим режимом «Воєнного стану» можливі зміни та поправки в це положення з метою забезпечення безпеки проведення заходу.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993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192" w:hanging="360"/>
      </w:pPr>
      <w:rPr>
        <w:vertAlign w:val="baseline"/>
      </w:rPr>
    </w:lvl>
    <w:lvl w:ilvl="1">
      <w:start w:val="3"/>
      <w:numFmt w:val="decimal"/>
      <w:lvlText w:val="%1.%2."/>
      <w:lvlJc w:val="left"/>
      <w:pPr>
        <w:ind w:left="3552" w:hanging="720"/>
      </w:pPr>
      <w:rPr>
        <w:vertAlign w:val="baseline"/>
      </w:rPr>
    </w:lvl>
    <w:lvl w:ilvl="2">
      <w:start w:val="1"/>
      <w:numFmt w:val="decimalZero"/>
      <w:lvlText w:val="%1.%2.%3."/>
      <w:lvlJc w:val="left"/>
      <w:pPr>
        <w:ind w:left="355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3912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272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632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632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yoasN85wj8Pcbckas6CVmlgyyw==">CgMxLjAyCWguMzBqMHpsbDIOaC50dGw2Y3FjMXlobzM4AHIhMWxna3BJZ3c1ZEdLX1dRQjF5Wjg3Y3ZGTW5zSXhHQUhK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